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A6FD" w14:textId="77777777"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„ne nanosi bitnu štetu“ (eng. „Do no </w:t>
      </w:r>
      <w:proofErr w:type="spellStart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significant</w:t>
      </w:r>
      <w:proofErr w:type="spellEnd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harm</w:t>
      </w:r>
      <w:proofErr w:type="spellEnd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“) okolišnim ciljevima</w:t>
      </w:r>
    </w:p>
    <w:p w14:paraId="55A5054F" w14:textId="77777777" w:rsidR="00F524EA" w:rsidRDefault="00F524EA" w:rsidP="00F524EA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36C999E4" w14:textId="77777777"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Ulaganje u cjelovitu obnovu zgrada treba biti usklađeno s načelom </w:t>
      </w:r>
      <w:proofErr w:type="spellStart"/>
      <w:r w:rsidRPr="00F524EA">
        <w:rPr>
          <w:rFonts w:ascii="Times New Roman" w:eastAsia="Times New Roman" w:hAnsi="Times New Roman" w:cs="Times New Roman"/>
          <w:sz w:val="24"/>
          <w:szCs w:val="24"/>
        </w:rPr>
        <w:t>nenanošenja</w:t>
      </w:r>
      <w:proofErr w:type="spellEnd"/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bitne štete (Do no </w:t>
      </w:r>
      <w:proofErr w:type="spellStart"/>
      <w:r w:rsidRPr="00F524EA"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4EA"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- DNSH), odnosno ne smije nanijeti bitnu štetu okolišnim ciljevima u smislu članka 17. Uredbe (EU) 2020/852 Europskog parlamenta i Vijeća od 18. lipnja 2020. godine o uspostavi okvira za olakšavanje održivih ulaganja i izmjeni Uredbe (EU) 2019/2088, što je u skladu s Uredbom o uspostavi Mehanizma za oporavak i otpornost. </w:t>
      </w:r>
    </w:p>
    <w:p w14:paraId="6F2192C5" w14:textId="77777777"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892B0" w14:textId="77777777" w:rsid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sz w:val="24"/>
          <w:szCs w:val="24"/>
        </w:rPr>
        <w:t>U okviru NPOO-a u sklopu investicije C6.1. R1-I2 Obnova zgrada oštećenih u potresu s energetskom obnovom osigurana su sredstva za sveobuhvatnu obnovu višestambenih zgrada i zgrada javnog sektora oštećenih u potresu kako bi se sanirala nastala oštećenja te povećala mehanička otpornost i stabilnost zgrade, povećala energetska učinkovitost i korištenje obnovljivih izvora energije, smanjila emisija CO</w:t>
      </w:r>
      <w:r w:rsidRPr="00F524E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524EA">
        <w:rPr>
          <w:rFonts w:ascii="Times New Roman" w:eastAsia="Times New Roman" w:hAnsi="Times New Roman" w:cs="Times New Roman"/>
          <w:sz w:val="24"/>
          <w:szCs w:val="24"/>
        </w:rPr>
        <w:t>, dugoročno smanjili troškovi održavanja, povećali zdravi unutarnji klimatski uvjeti, povećala sigurnost od požara, i ublažilo energetsko siromaštvo.</w:t>
      </w:r>
    </w:p>
    <w:p w14:paraId="41F06558" w14:textId="77777777"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CC11A" w14:textId="77777777" w:rsidR="00F524EA" w:rsidRDefault="00F5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za osiguranje načela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FC">
        <w:rPr>
          <w:rFonts w:ascii="Times New Roman" w:hAnsi="Times New Roman" w:cs="Times New Roman"/>
          <w:sz w:val="24"/>
          <w:szCs w:val="24"/>
        </w:rPr>
        <w:t>bitne štete:</w:t>
      </w:r>
    </w:p>
    <w:tbl>
      <w:tblPr>
        <w:tblW w:w="9072" w:type="dxa"/>
        <w:tblInd w:w="-10" w:type="dxa"/>
        <w:tblBorders>
          <w:top w:val="single" w:sz="8" w:space="0" w:color="A8D08D"/>
          <w:left w:val="single" w:sz="8" w:space="0" w:color="A8D08D"/>
          <w:bottom w:val="single" w:sz="8" w:space="0" w:color="A8D08D"/>
          <w:right w:val="single" w:sz="8" w:space="0" w:color="A8D08D"/>
          <w:insideH w:val="single" w:sz="8" w:space="0" w:color="A8D08D"/>
          <w:insideV w:val="single" w:sz="8" w:space="0" w:color="A8D08D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F524EA" w:rsidRPr="00F524EA" w14:paraId="41E5EAC0" w14:textId="77777777" w:rsidTr="00A44071">
        <w:trPr>
          <w:trHeight w:val="832"/>
        </w:trPr>
        <w:tc>
          <w:tcPr>
            <w:tcW w:w="2835" w:type="dxa"/>
            <w:shd w:val="clear" w:color="000000" w:fill="4DB17B"/>
            <w:vAlign w:val="center"/>
            <w:hideMark/>
          </w:tcPr>
          <w:p w14:paraId="6D38DE01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Okolišni cilj</w:t>
            </w:r>
          </w:p>
        </w:tc>
        <w:tc>
          <w:tcPr>
            <w:tcW w:w="6237" w:type="dxa"/>
            <w:shd w:val="clear" w:color="000000" w:fill="4DB17B"/>
            <w:vAlign w:val="center"/>
            <w:hideMark/>
          </w:tcPr>
          <w:p w14:paraId="39A9CB38" w14:textId="77777777" w:rsidR="00F524EA" w:rsidRPr="00F524EA" w:rsidRDefault="00F524EA" w:rsidP="00F524EA">
            <w:pPr>
              <w:spacing w:after="0" w:line="276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 xml:space="preserve">  Usklađenost investicije s DNSH načelom</w:t>
            </w:r>
          </w:p>
        </w:tc>
      </w:tr>
      <w:tr w:rsidR="00F524EA" w:rsidRPr="00F524EA" w14:paraId="385F482E" w14:textId="77777777" w:rsidTr="00A44071">
        <w:trPr>
          <w:trHeight w:val="973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C6BA590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I.</w:t>
            </w:r>
          </w:p>
          <w:p w14:paraId="38BB48AC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Ublažavanje klimatskih promjena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03DFD3A4" w14:textId="77777777" w:rsidR="0082215A" w:rsidRDefault="0082215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Obnovom zgrada postići će se prosječna ušteda primarne energije (</w:t>
            </w:r>
            <w:proofErr w:type="spellStart"/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Eprim</w:t>
            </w:r>
            <w:proofErr w:type="spellEnd"/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 od najmanje 30%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r w:rsidR="00F31D3D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 razini komponente NPOO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u odnosu na stanje prije obnove i smanjenje emisija stakleničkih plinova.</w:t>
            </w:r>
          </w:p>
          <w:p w14:paraId="3CC6F64C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Zgrade koje će se obnoviti nisu namijenjene vađenju, skladištenju, transportu ili proizvodnji fosilnih goriva.</w:t>
            </w:r>
          </w:p>
          <w:p w14:paraId="37E39288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Financiranje ugradnje kotlova i sustava grijanja na prirodni plin će biti u skladu s člankom 7. stavkom 2. Uredbe (EU) 2017/1369 o okviru za označivanje energetske učinkovitosti (1), a ugrađuju se u zgrade koje su uključene u širi program energetske obnove zgrada, u skladu s Dugoročnom strategijom obnove nacionalnog fonda zgrada do 2050., u skladu s Direktivom o energetskim svojstvima zgrada, i dovode do znatnog poboljšanja energetske učinkovitosti. </w:t>
            </w:r>
          </w:p>
          <w:p w14:paraId="30794BD7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U slučaju zamjene postojećih neučinkovitih sustava grijanja i kotlova (npr. na bazi ugljena ili loživog ulja ili standardnih postojećih plinskih kotlova/ bojlera) s visokoučinkovitim kondenzacijskim kotlovima na plin biti će zadovoljen uvjet da zamjena dovodi do znatnog smanjenja emisija stakleničkih plinova, i znatnog unapređenja okoliša (osobito zbog smanjenja onečišćenja) i javnog zdravlja, posebno na područjima na kojima su EU-ovi pragovi za kvalitetu zraka utvrđeni Direktivom 2008/50/EU premašeni ili bi mogli biti premašeni, npr. pri zamjeni sustava grijanja i kotlova na bazi ugljena ili loživog ulja, obzirom da su kondenzacijski bojleri barem 30% energetski učinkovitiji te generiraju 30% manje emisija od postojećih neučinkovitih sustava grijanja i kotlova koji će biti zamijenjeni u sklopu obnove. Potpora takvim bojlerima neće predstavljati više od 20% investicije.</w:t>
            </w:r>
          </w:p>
        </w:tc>
      </w:tr>
      <w:tr w:rsidR="00F524EA" w:rsidRPr="00F524EA" w14:paraId="442A7D8C" w14:textId="77777777" w:rsidTr="00A44071">
        <w:trPr>
          <w:trHeight w:hRule="exact" w:val="1438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A60D4B8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II.</w:t>
            </w:r>
          </w:p>
          <w:p w14:paraId="2FCD5FAD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Prilagođavanje klimatskim promjenama</w:t>
            </w:r>
          </w:p>
          <w:p w14:paraId="74DC389A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3F745419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Klimatski rizici koji bi mogli biti relevantni za svako ulaganje u okviru ove mjere identificirani su u nacionalnoj Strategiji prilagodbe klimatskim promjenama u Republici Hrvatskoj za razdoblje 2040. godine s pogledom na 2070. godinu.</w:t>
            </w:r>
          </w:p>
          <w:p w14:paraId="6CCB0923" w14:textId="77777777" w:rsidR="00F524EA" w:rsidRPr="00F524EA" w:rsidRDefault="00F524EA" w:rsidP="00F52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524EA" w:rsidRPr="00F524EA" w14:paraId="6C4C2D9B" w14:textId="77777777" w:rsidTr="00A44071">
        <w:trPr>
          <w:trHeight w:hRule="exact" w:val="3825"/>
        </w:trPr>
        <w:tc>
          <w:tcPr>
            <w:tcW w:w="2835" w:type="dxa"/>
            <w:shd w:val="clear" w:color="000000" w:fill="FFFFFF"/>
            <w:vAlign w:val="center"/>
          </w:tcPr>
          <w:p w14:paraId="2D1F4B30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III.</w:t>
            </w:r>
          </w:p>
          <w:p w14:paraId="2494366C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Održiva uporaba i zaštita voda i morskih resursa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14:paraId="64F899BC" w14:textId="77777777" w:rsidR="00F524EA" w:rsidRPr="00F524EA" w:rsidRDefault="00F524EA" w:rsidP="00F524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 uređaji za vodu koji se ugrađuju u javne zgrade moraju biti u skladu s utvrđenim razinama uštede vode s načelima DNSH.</w:t>
            </w:r>
          </w:p>
          <w:p w14:paraId="302EAC98" w14:textId="77777777" w:rsidR="00F524EA" w:rsidRPr="00F524EA" w:rsidRDefault="00F524EA" w:rsidP="00F524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 kontekstu uštede vode za javne zgrade, moraju se ugraditi uređaji za vodu koji su u skladu sa: </w:t>
            </w:r>
          </w:p>
          <w:p w14:paraId="09A02142" w14:textId="77777777"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slavine za umivaonike i kuhinjske slavine imaju maksimalan protok vode od 6 litara / min; </w:t>
            </w:r>
          </w:p>
          <w:p w14:paraId="5F2892E1" w14:textId="77777777"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tuševi imaju maksimalni protok vode od 8 litara / min; </w:t>
            </w:r>
          </w:p>
          <w:p w14:paraId="32979A88" w14:textId="77777777"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WC-i, uključujući apartmane, posude i cisterne, imaju puni volumen ispiranja od najviše 6 litara i maksimalni prosječni volumen ispiranja od 3,5 litara; </w:t>
            </w:r>
          </w:p>
          <w:p w14:paraId="7D10103F" w14:textId="77777777"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pisoari koriste najviše 2 litre / zdjelu / sat, pisoari za ispiranje imaju maksimalni puni volumen ispiranja od 1 litre.</w:t>
            </w:r>
          </w:p>
        </w:tc>
      </w:tr>
      <w:tr w:rsidR="00F524EA" w:rsidRPr="00F524EA" w14:paraId="36744F32" w14:textId="77777777" w:rsidTr="00A44071">
        <w:trPr>
          <w:trHeight w:hRule="exact" w:val="3964"/>
        </w:trPr>
        <w:tc>
          <w:tcPr>
            <w:tcW w:w="2835" w:type="dxa"/>
            <w:shd w:val="clear" w:color="000000" w:fill="FFFFFF"/>
            <w:vAlign w:val="center"/>
          </w:tcPr>
          <w:p w14:paraId="417E82BA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IV.</w:t>
            </w:r>
          </w:p>
          <w:p w14:paraId="2D69F74F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Kružno gospodarstvo, uključujući prevenciju otpada i recikliranje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14:paraId="55414E17" w14:textId="77777777"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materijala, koristeći dostupne sustave za sortiranje građevinskog otpada i otpada od rušenja. Građevinski projekti i građevinske tehnike podržavaju kružnost i posebno demonstriraju, pozivajući se na ISO 20887 ili drugi standard za procjenu rastavljivosti ili prilagodljivosti zgrada, kako su dizajnirani da budu učinkovitiji u pogledu resursa, prilagodljivi, fleksibilni i rastavljivi kako bi omogućili ponovnu upotrebu i recikliranje.</w:t>
            </w:r>
          </w:p>
          <w:p w14:paraId="455DB1A1" w14:textId="77777777" w:rsidR="00F524EA" w:rsidRPr="00F524EA" w:rsidRDefault="00F524EA" w:rsidP="00F52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524EA" w:rsidRPr="00F524EA" w14:paraId="71490FAA" w14:textId="77777777" w:rsidTr="00A44071">
        <w:trPr>
          <w:trHeight w:hRule="exact" w:val="8100"/>
        </w:trPr>
        <w:tc>
          <w:tcPr>
            <w:tcW w:w="2835" w:type="dxa"/>
            <w:shd w:val="clear" w:color="000000" w:fill="FFFFFF"/>
            <w:vAlign w:val="center"/>
          </w:tcPr>
          <w:p w14:paraId="270F059C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V.</w:t>
            </w:r>
          </w:p>
          <w:p w14:paraId="0657005A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Prevencija onečišćenja i kontrola zraka, vode ili tla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14:paraId="52B52588" w14:textId="77777777"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Od operatora koji provode obnovu morat će se osigurati da građevinski dijelovi i materijali korišteni u obnovi zgrade ne sadrže azbest niti tvari koje izazivaju veliku zabrinutost, kako je utvrđeno na temelju popisa tvari za koje je potrebno odobrenje iz Priloga XIV. Uredbe (EZ) br. 1907/2006.</w:t>
            </w:r>
          </w:p>
          <w:p w14:paraId="0A6DAC06" w14:textId="77777777"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Od operatora koji provode obnovu morat će se osigurati da građevinski dijelovi i materijali korišteni u zgradi, koji mogu doći u kontakt sa stanarima, emitiraju manje od 0,06 mg formaldehida po m</w:t>
            </w:r>
            <w:r w:rsidRPr="00F524E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F524EA">
              <w:rPr>
                <w:rFonts w:ascii="Times New Roman" w:eastAsia="Times New Roman" w:hAnsi="Times New Roman" w:cs="Times New Roman"/>
              </w:rPr>
              <w:t xml:space="preserve"> materijala ili komponente i manje od 0,001 mg kategorija 1A i 1B kancerogenih hlapljivih organskih spojeva po m</w:t>
            </w:r>
            <w:r w:rsidRPr="00F524E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F524EA">
              <w:rPr>
                <w:rFonts w:ascii="Times New Roman" w:eastAsia="Times New Roman" w:hAnsi="Times New Roman" w:cs="Times New Roman"/>
              </w:rPr>
              <w:t xml:space="preserve"> materijala ili komponente, nakon ispitivanja u skladu s CEN / TS 16516 i ISO 16000-3 ili drugim usporedivim standardiziranim uvjetima ispitivanja i metodom određivanja.</w:t>
            </w:r>
          </w:p>
          <w:p w14:paraId="2C6D1EF3" w14:textId="77777777"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Poduzet će se mjere za smanjenje emisije buke, prašine i onečišćujućih tvari tijekom građevinskih radova, sukladno Zakonu o gradnji članku 133. Uređenje gradilišta koji zahtijeva da se na gradilištu predvide i provode mjere zaštite na radu te ostale mjere za zaštitu života i zdravlja ljudi u skladu s posebnim propisima, te kojima se onečišćenje zraka, tla i podzemnih voda te buka svode na najmanju mjeru. Tako će se prilikom obnove zgrade radovi izvoditi samo u dnevnom razdoblju, svi rastresiti materijali će biti sklonjeni (prekrivanjem ili po potrebi vlaženjem) kako bi se spriječilo rasipanje tijekom kiše i vjetra, a sva uklanjanja i demontaže građevnih elemenata i materijala vršit će se tehnikama koje sprečavaju širenje prašine i štetnih tvari na susjedne površine, te će se kada je potrebno koristiti zaštitne ograde.</w:t>
            </w:r>
          </w:p>
        </w:tc>
      </w:tr>
      <w:tr w:rsidR="00F524EA" w:rsidRPr="00F524EA" w14:paraId="7A3F33D2" w14:textId="77777777" w:rsidTr="00A44071">
        <w:trPr>
          <w:trHeight w:hRule="exact" w:val="2417"/>
        </w:trPr>
        <w:tc>
          <w:tcPr>
            <w:tcW w:w="2835" w:type="dxa"/>
            <w:shd w:val="clear" w:color="000000" w:fill="FFFFFF"/>
            <w:vAlign w:val="center"/>
          </w:tcPr>
          <w:p w14:paraId="1AEAE03A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VI.</w:t>
            </w:r>
          </w:p>
          <w:p w14:paraId="3FA8C11A" w14:textId="77777777"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Zaštita i obnova biološke raznolikosti i ekosustava</w:t>
            </w:r>
          </w:p>
        </w:tc>
        <w:tc>
          <w:tcPr>
            <w:tcW w:w="6237" w:type="dxa"/>
            <w:tcBorders>
              <w:bottom w:val="single" w:sz="8" w:space="0" w:color="A8D08D"/>
            </w:tcBorders>
            <w:shd w:val="clear" w:color="000000" w:fill="FFFFFF"/>
            <w:vAlign w:val="center"/>
          </w:tcPr>
          <w:p w14:paraId="4804C67B" w14:textId="77777777"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Aktivnosti obnove zgrada imaju beznačajno predvidljivi utjecaj na ovaj okolišni cilj, uzimajući u obzir izravne i primarne neizravne učinke tijekom životnog ciklusa. Većina zgrada koje će se obnoviti kroz program obnove neće se nalaziti u ili u blizini područja osjetljivih na biološku raznolikost (uključujući mrežu zaštićenih područja Natura 2000, područja svjetske baštine UNESCO-a i ključna područja biološke raznolikosti, kao i druga zaštićena područja) jer je riječ o postojećim zgradama u izgrađenom području.</w:t>
            </w:r>
          </w:p>
        </w:tc>
      </w:tr>
    </w:tbl>
    <w:p w14:paraId="65B40901" w14:textId="77777777" w:rsidR="00F524EA" w:rsidRDefault="00F524EA"/>
    <w:sectPr w:rsidR="00F52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1AF2" w14:textId="77777777" w:rsidR="00E84024" w:rsidRDefault="00E84024" w:rsidP="005E18B6">
      <w:pPr>
        <w:spacing w:after="0" w:line="240" w:lineRule="auto"/>
      </w:pPr>
      <w:r>
        <w:separator/>
      </w:r>
    </w:p>
  </w:endnote>
  <w:endnote w:type="continuationSeparator" w:id="0">
    <w:p w14:paraId="7A97AEA8" w14:textId="77777777" w:rsidR="00E84024" w:rsidRDefault="00E84024" w:rsidP="005E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BAC3" w14:textId="77777777" w:rsidR="00E84024" w:rsidRDefault="00E84024" w:rsidP="005E18B6">
      <w:pPr>
        <w:spacing w:after="0" w:line="240" w:lineRule="auto"/>
      </w:pPr>
      <w:r>
        <w:separator/>
      </w:r>
    </w:p>
  </w:footnote>
  <w:footnote w:type="continuationSeparator" w:id="0">
    <w:p w14:paraId="484EBF68" w14:textId="77777777" w:rsidR="00E84024" w:rsidRDefault="00E84024" w:rsidP="005E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912B" w14:textId="54DCB3E9" w:rsidR="005E18B6" w:rsidRPr="005E18B6" w:rsidRDefault="005E18B6">
    <w:pPr>
      <w:pStyle w:val="Zaglavlje"/>
      <w:rPr>
        <w:b/>
        <w:bCs/>
      </w:rPr>
    </w:pPr>
    <w:r w:rsidRPr="005E18B6">
      <w:rPr>
        <w:b/>
        <w:bCs/>
      </w:rPr>
      <w:t>Primjena DNSH načela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EA"/>
    <w:rsid w:val="00351910"/>
    <w:rsid w:val="00582FFC"/>
    <w:rsid w:val="005E18B6"/>
    <w:rsid w:val="0082215A"/>
    <w:rsid w:val="009061A2"/>
    <w:rsid w:val="00E84024"/>
    <w:rsid w:val="00F31D3D"/>
    <w:rsid w:val="00F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74A8"/>
  <w15:chartTrackingRefBased/>
  <w15:docId w15:val="{30918C79-1D54-4F93-8414-B98F901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8B6"/>
  </w:style>
  <w:style w:type="paragraph" w:styleId="Podnoje">
    <w:name w:val="footer"/>
    <w:basedOn w:val="Normal"/>
    <w:link w:val="PodnojeChar"/>
    <w:uiPriority w:val="99"/>
    <w:unhideWhenUsed/>
    <w:rsid w:val="005E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Pauković</dc:creator>
  <cp:keywords/>
  <dc:description/>
  <cp:lastModifiedBy>Mate Kristo</cp:lastModifiedBy>
  <cp:revision>6</cp:revision>
  <dcterms:created xsi:type="dcterms:W3CDTF">2022-01-24T16:26:00Z</dcterms:created>
  <dcterms:modified xsi:type="dcterms:W3CDTF">2022-02-08T15:37:00Z</dcterms:modified>
</cp:coreProperties>
</file>